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1" w:rsidRPr="00813BC1" w:rsidRDefault="00813BC1" w:rsidP="00813B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bookmarkStart w:id="0" w:name="_GoBack"/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Приказ Министерства здравоохранения РФ от 29 декабря 2014 г. N 930н</w:t>
      </w: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"Об утверждении Порядка организации оказания высокотехнологичной медицинской помощи с применением специализированной информационной системы"</w:t>
      </w:r>
    </w:p>
    <w:bookmarkEnd w:id="0"/>
    <w:p w:rsidR="00813BC1" w:rsidRPr="00813BC1" w:rsidRDefault="00813BC1" w:rsidP="00813B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6BBE"/>
          <w:sz w:val="20"/>
          <w:szCs w:val="20"/>
          <w:lang w:eastAsia="ru-RU"/>
        </w:rPr>
      </w:pPr>
      <w:r w:rsidRPr="00813BC1">
        <w:rPr>
          <w:rFonts w:ascii="Arial" w:eastAsia="Times New Roman" w:hAnsi="Arial" w:cs="Arial"/>
          <w:color w:val="106BBE"/>
          <w:sz w:val="20"/>
          <w:szCs w:val="20"/>
          <w:lang w:eastAsia="ru-RU"/>
        </w:rPr>
        <w:t>(Информация об изменениях</w:t>
      </w:r>
      <w:proofErr w:type="gramStart"/>
      <w:r w:rsidRPr="00813BC1">
        <w:rPr>
          <w:rFonts w:ascii="Arial" w:eastAsia="Times New Roman" w:hAnsi="Arial" w:cs="Arial"/>
          <w:color w:val="106BBE"/>
          <w:sz w:val="20"/>
          <w:szCs w:val="20"/>
          <w:lang w:eastAsia="ru-RU"/>
        </w:rPr>
        <w:t> )</w:t>
      </w:r>
      <w:proofErr w:type="gramEnd"/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частью 8 статьи 34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Федерального закона от 21 ноября 2011 г. N 323-Ф3 "Об основах охраны здоровья граждан в Российской Федерации" (Собрание законодательства Российской Федерации, 2011, N 48, ст. 6724;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2013, N 48, ст. 6165) и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подпунктом 5.2.29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Положения о Министерстве здравоохранения Российской Федерации, утвержденного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постановлением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Российской Федерации от 19 июня 2012 г. N 608 (Собрание законодательства Российской Федерации, 2012, N 26, ст. 3526; 2014, N 37, ст. 4969), приказываю: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Утвердить прилагаемый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Порядок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организации оказания высокотехнологичной медицинской помощи с применением специализированной информационной системы.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приказ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Министерства здравоохранения и социального развития Российской Федерации от 28 декабря 2011 г. N 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 (зарегистрирован Министерством юстиции Российской Федерации 8 февраля 2012 г., регистрационный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 23164).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Настоящий приказ вступает в силу с 1 января 2015 года.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813BC1" w:rsidRPr="00813BC1" w:rsidTr="00813BC1">
        <w:trPr>
          <w:tblCellSpacing w:w="15" w:type="dxa"/>
        </w:trPr>
        <w:tc>
          <w:tcPr>
            <w:tcW w:w="3300" w:type="pct"/>
            <w:hideMark/>
          </w:tcPr>
          <w:p w:rsidR="00813BC1" w:rsidRPr="00813BC1" w:rsidRDefault="00813BC1" w:rsidP="00813B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3B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1650" w:type="pct"/>
            <w:hideMark/>
          </w:tcPr>
          <w:p w:rsidR="00813BC1" w:rsidRPr="00813BC1" w:rsidRDefault="00813BC1" w:rsidP="00813B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3B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В.И. Скворцова</w:t>
            </w:r>
          </w:p>
        </w:tc>
      </w:tr>
    </w:tbl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Зарегистрировано в Минюсте РФ 31 декабря 2014 г.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Регистрационный N 35499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Порядок</w:t>
      </w: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организации оказания высокотехнологичной медицинской помощи с применением специализированной информационной системы</w:t>
      </w: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(утв. </w:t>
      </w:r>
      <w:r w:rsidRPr="00813BC1">
        <w:rPr>
          <w:rFonts w:ascii="Arial" w:eastAsia="Times New Roman" w:hAnsi="Arial" w:cs="Arial"/>
          <w:b/>
          <w:b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 Министерства здравоохранения РФ от 29 декабря 2014 г. N 930н)</w:t>
      </w:r>
    </w:p>
    <w:p w:rsidR="00813BC1" w:rsidRPr="00813BC1" w:rsidRDefault="00813BC1" w:rsidP="00813B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6BBE"/>
          <w:sz w:val="20"/>
          <w:szCs w:val="20"/>
          <w:lang w:eastAsia="ru-RU"/>
        </w:rPr>
      </w:pPr>
      <w:r w:rsidRPr="00813BC1">
        <w:rPr>
          <w:rFonts w:ascii="Arial" w:eastAsia="Times New Roman" w:hAnsi="Arial" w:cs="Arial"/>
          <w:color w:val="106BBE"/>
          <w:sz w:val="20"/>
          <w:szCs w:val="20"/>
          <w:lang w:eastAsia="ru-RU"/>
        </w:rPr>
        <w:t>(Информация об изменениях</w:t>
      </w:r>
      <w:proofErr w:type="gramStart"/>
      <w:r w:rsidRPr="00813BC1">
        <w:rPr>
          <w:rFonts w:ascii="Arial" w:eastAsia="Times New Roman" w:hAnsi="Arial" w:cs="Arial"/>
          <w:color w:val="106BBE"/>
          <w:sz w:val="20"/>
          <w:szCs w:val="20"/>
          <w:lang w:eastAsia="ru-RU"/>
        </w:rPr>
        <w:t> )</w:t>
      </w:r>
      <w:proofErr w:type="gramEnd"/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I. Организация оказания высокотехнологичной медицинской помощи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Настоящий Порядок устанавливает правила организации оказания высокотехнологичной медицинской помощи с применением 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специализированной информационной системы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*(1)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Высокотехнологичная медицинская помощь оказывается в соответствии с порядками оказания медицинской помощи и на основе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стандартов медицинской помощи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Высокотехнологичная медицинская помощь оказывается в следующих условиях: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 В дневном стационаре (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условиях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 Стационарно (в условиях, обеспечивающих круглосуточное медицинское наблюдение и лечение).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Высокотехнологичная медицинская помощь оказывается в соответствии с перечнем видов высокотехнологичной медицинской помощи, установленным программой государственных гарантий бесплатного оказания гражданам медицинской помощи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*(2)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который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включает в себя: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Перечень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видов высокотехнологичной медицинской помощи, включенных в базовую программу обязательного медицинского страхования, финансовое обеспечение,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5.2. </w:t>
      </w:r>
      <w:proofErr w:type="gramStart"/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Перечень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 законом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бюджете Федерального фонда обязательного медицинского страхования на очередной финансовый год и на плановый период.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Высокотехнологичная медицинская помощь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перечню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Высокотехнологичная медицинская помощь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перечню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видов, не включенных в базовую программу обязательного медицинского страхования, оказывается;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7.1. Федеральными государственными учреждениями,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перечень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которых утверждается Министерством здравоохранения Российской Федерации 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частью 6 статьи 34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21 ноября 2011 г. N 323-ФЗ "Об основах охраны здоровья граждан в Российской Федерации";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7.2. Медицинскими организациями, перечень которых утверждается уполномоченным органом исполнительной власти субъекта Российской Федерации (далее - перечень медицинских организаций) 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частью 7 статьи 34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21 ноября 2011 г. N 323-ФЭ "Об основах охраны здоровья граждан в Российской Федерации".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отчетному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9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здравоохранения, Российской Федерации перечень медицинских,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перечню видов высокотехнологичной медицинской помощи, включенных в базовую программу обязательного медицинского страхования, в срок до 10 декабря года, предшествующего отчетному.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случае внесения изменений в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помощь, Федеральный фонд обязательного медицинского страхования представляет в Министерство здравоохранения Российской Федерации сведения об изменении указанного перечня в течение 30 календарных дней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даты изменения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10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Министерство здравоохранения Российской Федерации формирует в специализированной информационной системе перечень медицинских организаций, оказывающих высокотехнологичную медицинскую помощь 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пунктами 7 - 9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настоящего Порядка,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срок до 30 декабря года, предшествующего отчетному.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II. Направление на оказание высокотехнологичной медицинской помощи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11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*(3)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13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13.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наличии медицинских показаний к оказанию высокотехнологичной медицинской помощи, подтвержденных в соответствии с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пунктом 11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 и содержать следующие сведения: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13.1. Фамилия, имя, отчество (при наличии) пациента, дату его рождения, адрес регистрации по месту жительства (пребывания);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13.2. Номер полиса обязательного медицинского страхования и название страховой медицинской организации (при наличии);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13.3. Страховое свидетельство обязательного пенсионного страхования (при наличии);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13.4. Код диагноза основного заболевания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МКБ-10*(4)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13.6.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13.7.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Фамилия, имя, отчество (при наличии) и должность лечащего врача, контактный телефон (при наличии), электронный, адрес (при наличии).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14.2. Копии следующих документов пациента: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документ,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*(5)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*(6)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*(7)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*(8)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разрешение на временное проживание;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 на жительство;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Федерации в качестве документов, удостоверяющих личность лица без гражданства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*(9)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свидетельство о рождении пациента (для детей в возрасте до 14 лет);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полис обязательного медицинского страхования пациента (при наличии);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страховое свидетельство обязательного пенсионного страхования (при наличии);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14.3. Согласие на обработку персональных данных пациента и (или) его законного представителя.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15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документов, предусмотренных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пунктами 13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14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Порядка,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15.1.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страхования),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Талон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пунктами 13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14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Порядка.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18.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Талона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 оказание ВМП с применением специализированной информационной системы обеспечивает 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ОУЗ с прикреплением комплекта документов, предусмотренных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13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14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Порядка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ОУЗ).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18.1. Срок подготовки решения Комиссии ОУЗ о подтверждении наличия (об отсутствии) медицинских показаний для направления пациента в принимающую медицинскую организацию для оказания, высокотехнологичной медицинской помощи не должен превышать десяти рабочих дней со дня поступления в ОУЗ комплекта документов, предусмотренных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пунктами 13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14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Порядка.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 Решение Комиссии ОУЗ оформляется протоколом, содержащим следующие сведения: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18.2.1. Основание создания Комиссии ОУЗ (реквизиты нормативного правового акта);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18.2.2. Состав Комиссии ОУЗ;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18.2.4. Диагноз заболевания (состояния);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18.2.5. Заключение Комиссии ОУЗ, содержащее следующую информацию: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18.3. Протокол решения Комиссии ОУЗ оформляется в двух экземплярах, один экземпляр подлежит хранению в течение 10 лет в ОУЗ.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lastRenderedPageBreak/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19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19. Основанием для госпитализации пациента в принимающую медицинскую организацию и медицинские организации, предусмотренные </w:t>
      </w:r>
      <w:proofErr w:type="spell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</w:t>
      </w:r>
      <w:proofErr w:type="spellEnd"/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 xml:space="preserve"> 7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 по отбору пациентов на оказание высокотехнологичной медицинской помощи, (далее - Комиссия медицинской организации, оказывающей высокотехнологичную медицинскую помощь).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*(10)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19.2.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</w:t>
      </w:r>
      <w:proofErr w:type="spell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пациента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Талона</w:t>
      </w:r>
      <w:proofErr w:type="spell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оказание ВМП (за исключением случаев оказания скорой, в том числе скорой специализированной медицинской помощи).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состав Комиссии медицинской организации, оказывающей высокотехнологичную медицинскую помощь;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диагноз заболевания (состояния);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заключение Комиссии медицинской организации, оказывающей высокотехнологичную медицинскую помощь, содержащее следующую информацию;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МКБ-10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медицинской организации, в которую рекомендовано направить пациента.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подпункт 5 дополнен подпунктом "д"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МКБ-10,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813BC1" w:rsidRPr="00813BC1" w:rsidRDefault="00813BC1" w:rsidP="00813BC1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Минздрава России от 29 мая 2015 г. N 280н в пункт 20 внесены изменения</w:t>
      </w:r>
    </w:p>
    <w:p w:rsidR="00813BC1" w:rsidRPr="00813BC1" w:rsidRDefault="00813BC1" w:rsidP="00813BC1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текст пункта в предыдущей редакции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специализированной информационной системы, почтовой и (или) электронной связи в направляющую медицинскую организацию и (или) ОУЗ, который оформил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Талон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оказание ВМП, а также выдается на руки пациенту (его законному представителю) по письменному заявлению или направляется пациенту (его законному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представителю) посредством почтовой и (или) электронной связи.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наличия медицинских противопоказаний для госпитализации пациента в медицинскую организацию, оказывающую высокотехнологичную медицинскую помощь, отказ в госпитализации отмечается соответствующей записью в Талоне на оказание ВМП.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21. По результатам оказания высокотехнологичной медицинской помощи медицинские организации дают рекомендации по дальнейшему 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22.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ФМБА России), в подведомственные ФМБА России федеральные медицинские организации для оказания высокотехнологичной медицинской помощи осуществляется ФМБА России.</w:t>
      </w:r>
      <w:proofErr w:type="gramEnd"/>
    </w:p>
    <w:p w:rsidR="00813BC1" w:rsidRPr="00813BC1" w:rsidRDefault="00813BC1" w:rsidP="00813BC1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813BC1" w:rsidRPr="00813BC1" w:rsidRDefault="00813BC1" w:rsidP="00813BC1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Порядок</w:t>
      </w:r>
      <w:r w:rsidRPr="00813BC1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организации работы по направлению граждан, медико-санитарное обеспечение которых в соответствии с законодательством РФ относится к ведению ФМБА России, в подведомственные ФМБА России федеральные медицинские организации, утвержденный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приказом</w:t>
      </w:r>
      <w:r w:rsidRPr="00813BC1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ФМБА России от 25 февраля 2015 г. N 31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статьей 25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закона, от 21 ноября 2011 г. N 323-ФЗ "Об основах охраны здоровья граждан в Российской Федерации".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3BC1" w:rsidRPr="00813BC1" w:rsidRDefault="00813BC1" w:rsidP="00813B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*(1)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Часть 3 статьи 34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21 ноября 2011 г. N 323-ФЗ "Об основах охраны здоровья граждан в Российской Федерации" (Собрание законодательства Российской Федерации, 2011, N 48, ст. 6724; 2013, N 48, ст. 6165).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*(2)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Часть 5 статьи 80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21 ноября 2011 г. N 323-Ф3 "Об основах охраны здоровья граждан в Российской Федерации" (Собрание законодательства Российской Федерации, 2011, N 48, ст. 6724;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2013, N 48, ст. 6165),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Российской Федерации от 28 ноября 2014 г. N 1273 "О Программе государственных гарантий бесплатного оказания гражданам медицинской помощи на 2015 год и на плановый период 2016 и 2017 годов" (Собрании законодательства Российской Федерации, 2014, N 49, ст. 6975).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*(3)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Приказ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Министерства здравоохранения и социального развития Российской Федерации от 26 апреля 2012 г. N 406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 24278),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приказ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Министерства здравоохранения Российской Федерации от 21 декабря 2012 г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N 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(зарегистрирован Министерством юстиции Российской Федерации 12 марта 2013 г., регистрационный N 27617).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*(4)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Международная статистическая классификация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болезней и проблем, связанных со здоровьем (10 пересмотр).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*(5)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Указ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Президента Российской Федерации от 13 марта 1997 г. N 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 11, ст. 1301).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*(6)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Правительства Российской Федерации от 18 августа 2008 г. N 628 "О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Положении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 34, ст. 3937).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*(7)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Постановление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Российской Федерации от 12 февраля 2003 г. N 91 "Об удостоверении личности военнослужащего Российской Федерации" (Собрание законодательства Российской Федерации, 2003, N 7, ст. 654).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*(8)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Федеральный закон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19 февраля 1993 г. N 4528-1 "О беженцах" (Ведомости Съезда народных депутатов и Верховного Совета Российской Федерации, 1993, N 12, ст. 425; Собрание законодательства Российской Федерации, 1997, N 26, ст. 2956; 1998, N 30, ст. 3613; 2000, N 33, ст. 3348; N 46, ст. 4537; 2003, N 27, ст. 2700;</w:t>
      </w:r>
      <w:proofErr w:type="gramEnd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2004, N 27, ст. 2711; N 35, ст. 3607; 2006, N 31, ст. 3420; 2007, N 1, ст. 29; 2008, N 30, ст. 3616; 2011, N 1, ст. 29).</w:t>
      </w:r>
      <w:proofErr w:type="gramEnd"/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*(9)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Статья 10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от 25 июля 2002 г. 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813BC1" w:rsidRPr="00813BC1" w:rsidRDefault="00813BC1" w:rsidP="00813B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*(10) </w:t>
      </w:r>
      <w:r w:rsidRPr="00813BC1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Приказ</w:t>
      </w:r>
      <w:r w:rsidRPr="00813B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Министерства здравоохранения и социального развития Российской Федерации от 5 мая 2012 г. N 502н "Об утверждении порядка создания и деятельности врачебной комиссии медицинской организации" (зарегистрировано Министерством юстиции Российской Федерации 9 июня 2012 г. N 24516).</w:t>
      </w:r>
    </w:p>
    <w:p w:rsidR="00813BC1" w:rsidRPr="00813BC1" w:rsidRDefault="00813BC1" w:rsidP="00813B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B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1C97" w:rsidRDefault="00813BC1" w:rsidP="00813BC1">
      <w:bookmarkStart w:id="1" w:name="end"/>
      <w:bookmarkEnd w:id="1"/>
      <w:r w:rsidRPr="00813BC1">
        <w:rPr>
          <w:rFonts w:ascii="Verdana" w:eastAsia="Times New Roman" w:hAnsi="Verdana" w:cs="Times New Roman"/>
          <w:color w:val="808080"/>
          <w:sz w:val="14"/>
          <w:szCs w:val="14"/>
          <w:lang w:eastAsia="ru-RU"/>
        </w:rPr>
        <w:t>Конец страницы</w:t>
      </w:r>
    </w:p>
    <w:sectPr w:rsidR="00DF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C1"/>
    <w:rsid w:val="00813BC1"/>
    <w:rsid w:val="00D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3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BC1"/>
  </w:style>
  <w:style w:type="paragraph" w:styleId="a3">
    <w:name w:val="Normal (Web)"/>
    <w:basedOn w:val="a"/>
    <w:uiPriority w:val="99"/>
    <w:semiHidden/>
    <w:unhideWhenUsed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813BC1"/>
  </w:style>
  <w:style w:type="paragraph" w:customStyle="1" w:styleId="s16">
    <w:name w:val="s_16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813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3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BC1"/>
  </w:style>
  <w:style w:type="paragraph" w:styleId="a3">
    <w:name w:val="Normal (Web)"/>
    <w:basedOn w:val="a"/>
    <w:uiPriority w:val="99"/>
    <w:semiHidden/>
    <w:unhideWhenUsed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813BC1"/>
  </w:style>
  <w:style w:type="paragraph" w:customStyle="1" w:styleId="s16">
    <w:name w:val="s_16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1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81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4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7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Начмед</dc:creator>
  <cp:lastModifiedBy>Начмед</cp:lastModifiedBy>
  <cp:revision>1</cp:revision>
  <dcterms:created xsi:type="dcterms:W3CDTF">2015-07-07T12:51:00Z</dcterms:created>
  <dcterms:modified xsi:type="dcterms:W3CDTF">2015-07-07T12:52:00Z</dcterms:modified>
</cp:coreProperties>
</file>